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right="0"/>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ind w:right="0"/>
        <w:jc w:val="center"/>
        <w:textAlignment w:val="auto"/>
        <w:rPr>
          <w:rFonts w:hint="eastAsia"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rPr>
        <w:t>本次检验项目</w:t>
      </w:r>
      <w:r>
        <w:rPr>
          <w:rFonts w:hint="eastAsia" w:eastAsia="方正小标宋简体" w:cs="Times New Roman"/>
          <w:b w:val="0"/>
          <w:bCs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0"/>
        <w:jc w:val="both"/>
        <w:textAlignment w:val="auto"/>
        <w:rPr>
          <w:rFonts w:hint="eastAsia" w:eastAsia="方正小标宋简体" w:cs="Times New Roman"/>
          <w:b w:val="0"/>
          <w:bCs w:val="0"/>
          <w:sz w:val="44"/>
          <w:szCs w:val="44"/>
          <w:lang w:val="en-US" w:eastAsia="zh-CN"/>
        </w:rPr>
      </w:pPr>
    </w:p>
    <w:p>
      <w:pPr>
        <w:keepNext w:val="0"/>
        <w:keepLines w:val="0"/>
        <w:pageBreakBefore w:val="0"/>
        <w:widowControl/>
        <w:numPr>
          <w:ilvl w:val="0"/>
          <w:numId w:val="1"/>
        </w:numPr>
        <w:suppressLineNumbers w:val="0"/>
        <w:kinsoku/>
        <w:wordWrap/>
        <w:overflowPunct/>
        <w:topLinePunct w:val="0"/>
        <w:autoSpaceDE/>
        <w:autoSpaceDN/>
        <w:bidi w:val="0"/>
        <w:adjustRightInd w:val="0"/>
        <w:snapToGrid/>
        <w:ind w:left="638" w:leftChars="304"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肉制品</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（一）抽检依据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 GB 2760-2014《食品安全国家标准 食品添加剂使用标准》、GB 2762-2017《食品安全国家标准 食品中污染物限量》、GB 2762-2022《食品安全国家标准 食品中污染物限量》等标准及产品明示标准和指标的要求。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Chars="304"/>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（二）检验项目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酱卤肉制品抽检项目包括亚硝酸盐(以NaNO₂计)、山梨酸及其钾盐(以山梨酸计)、胭脂红、脱氢乙酸及其钠盐(以脱氢乙酸计)、苯甲酸及其钠盐(以苯甲酸计)、铬(以Cr计)。</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638" w:leftChars="304" w:firstLine="0" w:firstLineChars="0"/>
        <w:jc w:val="left"/>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二、食用油、油脂及其制品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（一）抽检依据</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GB 2716-2018《食品安全国家标准 植物油》、GB 2760-2014《食品安全国家标准 食品添加剂使用标准》、GB 2762-2017《食品安全国家标准 食品中污染物限量》、GB 2762-2022《食品安全国家标准 食品中污染物限量》、GB/T 1535-2017《大豆油》、GB/T 8233-2018《芝麻油》等标准及产品明示标准和指标的要求。</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（二）检验项目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1、大豆油抽检项目包括溶剂残留量、特丁基对苯二酚(TBHQ)、苯并[a]芘、过氧化值、酸价(KOH)。</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2、芝麻油抽检项目包括乙基麦芽酚、溶剂残留量、苯并[a]芘、过氧化值、酸价(KOH)。</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Chars="304"/>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三、调味品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（一）抽检依据</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GB 2761-2017《食品安全国家标准 食品中真菌毒素限量》、LS/T 3220-2017《芝麻酱》、QB/T 1733.4-2015《花生酱》、卫生部办公厅关于通报食品及食品添加剂邻苯二甲酸酯类物质最大残留量的函(卫办监督函〔2011〕551号)、GB 2719-2018《食品安全国家标准 食醋》、GB 2760-2014《食品安全国家标准 食品添加剂使用标准》、产品明示标准和质量要求等标准及产品明示标准和指标的要求。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（二）检验项目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1、坚果与籽类的泥(酱)抽检项目包括过氧化值(以脂肪计)、邻苯二甲酸二丁酯(DBP)、黄曲霉毒素B₁。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 w:hAnsi="仿宋" w:eastAsia="仿宋" w:cs="仿宋"/>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2、食醋抽检项目包括总酸(以乙酸计)、苯甲酸及其钠盐(以苯甲酸计)、菌落总数。</w:t>
      </w:r>
    </w:p>
    <w:sectPr>
      <w:headerReference r:id="rId3" w:type="default"/>
      <w:footerReference r:id="rId4" w:type="default"/>
      <w:pgSz w:w="11906" w:h="16838"/>
      <w:pgMar w:top="1474" w:right="1984" w:bottom="1587" w:left="2098"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-180975</wp:posOffset>
              </wp:positionV>
              <wp:extent cx="615315" cy="34734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615315" cy="3473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27.35pt;width:48.45pt;mso-position-horizontal:outside;mso-position-horizontal-relative:margin;z-index:251659264;mso-width-relative:page;mso-height-relative:page;" filled="f" stroked="f" coordsize="21600,21600" o:gfxdata="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xj36PVAAAABgEAAA8AAAAAAAAAAQAgAAAAIgAAAGRycy9kb3ducmV2&#10;LnhtbFBLAQIUABQAAAAIAIdO4kDRnxs0OAIAAGMEAAAOAAAAAAAAAAEAIAAAACQBAABkcnMvZTJv&#10;RG9jLnhtbFBLBQYAAAAABgAGAFkBAADOBQ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25DD0"/>
    <w:multiLevelType w:val="singleLevel"/>
    <w:tmpl w:val="57225D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NWI2MWU3MzRlZmYwMWEzYWI2OTE5ZmFiMTM1ZGIifQ=="/>
  </w:docVars>
  <w:rsids>
    <w:rsidRoot w:val="00000000"/>
    <w:rsid w:val="03A27284"/>
    <w:rsid w:val="071865E1"/>
    <w:rsid w:val="0ADD733E"/>
    <w:rsid w:val="0D603282"/>
    <w:rsid w:val="0D8B3F6A"/>
    <w:rsid w:val="0D9023A9"/>
    <w:rsid w:val="108D6FAC"/>
    <w:rsid w:val="1131366D"/>
    <w:rsid w:val="15173E9B"/>
    <w:rsid w:val="1E796FA2"/>
    <w:rsid w:val="206C1355"/>
    <w:rsid w:val="216B6BDB"/>
    <w:rsid w:val="28FA5F3C"/>
    <w:rsid w:val="2DD33055"/>
    <w:rsid w:val="31C41AB3"/>
    <w:rsid w:val="32592E08"/>
    <w:rsid w:val="34CE05A6"/>
    <w:rsid w:val="363B751A"/>
    <w:rsid w:val="36AD202E"/>
    <w:rsid w:val="3A03783A"/>
    <w:rsid w:val="3A9C4EFC"/>
    <w:rsid w:val="3ED005A8"/>
    <w:rsid w:val="4662010E"/>
    <w:rsid w:val="46B21156"/>
    <w:rsid w:val="4B055E71"/>
    <w:rsid w:val="53385BFD"/>
    <w:rsid w:val="54C15AE3"/>
    <w:rsid w:val="56971CB1"/>
    <w:rsid w:val="5CA27006"/>
    <w:rsid w:val="5D3329F2"/>
    <w:rsid w:val="62F46516"/>
    <w:rsid w:val="68125C46"/>
    <w:rsid w:val="6FA567C3"/>
    <w:rsid w:val="70D07D2B"/>
    <w:rsid w:val="70EF7908"/>
    <w:rsid w:val="792B7972"/>
    <w:rsid w:val="79B07BCB"/>
    <w:rsid w:val="7AFD12F5"/>
    <w:rsid w:val="7CAF0C08"/>
    <w:rsid w:val="7DA72C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22"/>
    <w:rPr>
      <w:b/>
      <w:bCs/>
    </w:rPr>
  </w:style>
  <w:style w:type="paragraph" w:customStyle="1" w:styleId="8">
    <w:name w:val="List Paragraph1"/>
    <w:basedOn w:val="1"/>
    <w:qFormat/>
    <w:uiPriority w:val="99"/>
    <w:pPr>
      <w:ind w:firstLine="420" w:firstLineChars="200"/>
    </w:pPr>
  </w:style>
  <w:style w:type="character" w:customStyle="1" w:styleId="9">
    <w:name w:val="font61"/>
    <w:basedOn w:val="6"/>
    <w:qFormat/>
    <w:uiPriority w:val="0"/>
    <w:rPr>
      <w:rFonts w:hint="eastAsia" w:ascii="宋体" w:hAnsi="宋体" w:eastAsia="宋体" w:cs="宋体"/>
      <w:color w:val="000000"/>
      <w:sz w:val="20"/>
      <w:szCs w:val="20"/>
      <w:u w:val="none"/>
    </w:rPr>
  </w:style>
  <w:style w:type="character" w:customStyle="1" w:styleId="10">
    <w:name w:val="font31"/>
    <w:basedOn w:val="6"/>
    <w:qFormat/>
    <w:uiPriority w:val="0"/>
    <w:rPr>
      <w:rFonts w:hint="default" w:ascii="Times New Roman" w:hAnsi="Times New Roman" w:cs="Times New Roman"/>
      <w:b/>
      <w:bCs/>
      <w:color w:val="000000"/>
      <w:sz w:val="20"/>
      <w:szCs w:val="20"/>
      <w:u w:val="none"/>
    </w:rPr>
  </w:style>
  <w:style w:type="character" w:customStyle="1" w:styleId="11">
    <w:name w:val="font01"/>
    <w:basedOn w:val="6"/>
    <w:qFormat/>
    <w:uiPriority w:val="0"/>
    <w:rPr>
      <w:rFonts w:hint="eastAsia" w:ascii="宋体" w:hAnsi="宋体" w:eastAsia="宋体" w:cs="宋体"/>
      <w:b/>
      <w:bCs/>
      <w:color w:val="000000"/>
      <w:sz w:val="20"/>
      <w:szCs w:val="20"/>
      <w:u w:val="none"/>
    </w:rPr>
  </w:style>
  <w:style w:type="character" w:customStyle="1" w:styleId="12">
    <w:name w:val="font51"/>
    <w:basedOn w:val="6"/>
    <w:qFormat/>
    <w:uiPriority w:val="0"/>
    <w:rPr>
      <w:rFonts w:hint="default" w:ascii="Times New Roman" w:hAnsi="Times New Roman" w:cs="Times New Roman"/>
      <w:color w:val="000000"/>
      <w:sz w:val="20"/>
      <w:szCs w:val="20"/>
      <w:u w:val="none"/>
    </w:rPr>
  </w:style>
  <w:style w:type="character" w:customStyle="1" w:styleId="13">
    <w:name w:val="font41"/>
    <w:basedOn w:val="6"/>
    <w:qFormat/>
    <w:uiPriority w:val="0"/>
    <w:rPr>
      <w:rFonts w:hint="eastAsia" w:ascii="仿宋" w:hAnsi="仿宋" w:eastAsia="仿宋" w:cs="仿宋"/>
      <w:color w:val="000000"/>
      <w:sz w:val="20"/>
      <w:szCs w:val="20"/>
      <w:u w:val="none"/>
    </w:rPr>
  </w:style>
  <w:style w:type="character" w:customStyle="1" w:styleId="14">
    <w:name w:val="font11"/>
    <w:basedOn w:val="6"/>
    <w:qFormat/>
    <w:uiPriority w:val="0"/>
    <w:rPr>
      <w:rFonts w:hint="eastAsia" w:ascii="宋体" w:hAnsi="宋体" w:eastAsia="宋体" w:cs="宋体"/>
      <w:b/>
      <w:bCs/>
      <w:color w:val="000000"/>
      <w:sz w:val="20"/>
      <w:szCs w:val="20"/>
      <w:u w:val="none"/>
    </w:rPr>
  </w:style>
  <w:style w:type="character" w:customStyle="1" w:styleId="15">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2913</Words>
  <Characters>3277</Characters>
  <Lines>0</Lines>
  <Paragraphs>0</Paragraphs>
  <TotalTime>0</TotalTime>
  <ScaleCrop>false</ScaleCrop>
  <LinksUpToDate>false</LinksUpToDate>
  <CharactersWithSpaces>3341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2021-01-13T01:01:00Z</dcterms:created>
  <dc:creator>Administrator</dc:creator>
  <cp:lastModifiedBy>Administrator</cp:lastModifiedBy>
  <cp:lastPrinted>2021-01-18T06:34:00Z</cp:lastPrinted>
  <dcterms:modified xsi:type="dcterms:W3CDTF">2023-11-24T01:24:02Z</dcterms:modified>
  <dc:title>新密市监函〔2021〕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EE0F51ECAEEB42978CCE3BA6ACCD7ED5_13</vt:lpwstr>
  </property>
</Properties>
</file>