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wordWrap/>
        <w:adjustRightInd/>
        <w:snapToGrid/>
        <w:spacing w:line="560" w:lineRule="exact"/>
        <w:ind w:right="0"/>
        <w:textAlignment w:val="auto"/>
        <w:rPr>
          <w:rFonts w:hint="eastAsia" w:ascii="黑体" w:hAnsi="黑体" w:eastAsia="黑体" w:cs="黑体"/>
          <w:sz w:val="32"/>
          <w:szCs w:val="32"/>
        </w:rPr>
      </w:pPr>
      <w:bookmarkStart w:id="0" w:name="_GoBack"/>
      <w:bookmarkEnd w:id="0"/>
      <w:r>
        <w:rPr>
          <w:rFonts w:hint="eastAsia" w:ascii="黑体" w:hAnsi="黑体" w:eastAsia="黑体" w:cs="黑体"/>
          <w:sz w:val="32"/>
          <w:szCs w:val="32"/>
        </w:rPr>
        <w:t>附件1</w:t>
      </w:r>
    </w:p>
    <w:p>
      <w:pPr>
        <w:keepNext w:val="0"/>
        <w:keepLines w:val="0"/>
        <w:pageBreakBefore w:val="0"/>
        <w:widowControl w:val="0"/>
        <w:kinsoku/>
        <w:wordWrap/>
        <w:overflowPunct/>
        <w:topLinePunct w:val="0"/>
        <w:autoSpaceDE/>
        <w:autoSpaceDN/>
        <w:bidi w:val="0"/>
        <w:adjustRightInd/>
        <w:snapToGrid/>
        <w:spacing w:line="700" w:lineRule="exact"/>
        <w:ind w:right="0"/>
        <w:jc w:val="center"/>
        <w:textAlignment w:val="auto"/>
        <w:rPr>
          <w:rFonts w:hint="eastAsia" w:eastAsia="方正小标宋简体" w:cs="Times New Roman"/>
          <w:b w:val="0"/>
          <w:bCs w:val="0"/>
          <w:sz w:val="44"/>
          <w:szCs w:val="44"/>
          <w:lang w:val="en-US" w:eastAsia="zh-CN"/>
        </w:rPr>
      </w:pPr>
      <w:r>
        <w:rPr>
          <w:rFonts w:hint="default" w:ascii="Times New Roman" w:hAnsi="Times New Roman" w:eastAsia="方正小标宋简体" w:cs="Times New Roman"/>
          <w:b w:val="0"/>
          <w:bCs w:val="0"/>
          <w:sz w:val="44"/>
          <w:szCs w:val="44"/>
        </w:rPr>
        <w:t>本次检验项目</w:t>
      </w:r>
      <w:r>
        <w:rPr>
          <w:rFonts w:hint="eastAsia" w:eastAsia="方正小标宋简体" w:cs="Times New Roman"/>
          <w:b w:val="0"/>
          <w:bCs w:val="0"/>
          <w:sz w:val="44"/>
          <w:szCs w:val="44"/>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700" w:lineRule="exact"/>
        <w:ind w:right="0"/>
        <w:jc w:val="both"/>
        <w:textAlignment w:val="auto"/>
        <w:rPr>
          <w:rFonts w:hint="eastAsia" w:eastAsia="方正小标宋简体" w:cs="Times New Roman"/>
          <w:b w:val="0"/>
          <w:bCs w:val="0"/>
          <w:sz w:val="44"/>
          <w:szCs w:val="44"/>
          <w:lang w:val="en-US" w:eastAsia="zh-CN"/>
        </w:rPr>
      </w:pPr>
    </w:p>
    <w:p>
      <w:pPr>
        <w:keepNext w:val="0"/>
        <w:keepLines w:val="0"/>
        <w:pageBreakBefore w:val="0"/>
        <w:widowControl/>
        <w:numPr>
          <w:ilvl w:val="0"/>
          <w:numId w:val="1"/>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肉制品</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（一）抽检依据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 GB 2760-2014《食品安全国家标准 食品添加剂使用标准》、GB 2762-2017《食品安全国家标准 食品中污染物限量》、GB 2762-2022《食品安全国家标准 食品中污染物限量》等标准及产品明示标准和指标的要求。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Chars="304"/>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酱卤肉制品抽检项目包括亚硝酸盐(以NaNO₂计)、山梨酸及其钾盐(以山梨酸计)、胭脂红、脱氢乙酸及其钠盐(以脱氢乙酸计)、苯甲酸及其钠盐(以苯甲酸计)、铬(以Cr计)。</w:t>
      </w:r>
    </w:p>
    <w:p>
      <w:pPr>
        <w:keepNext w:val="0"/>
        <w:keepLines w:val="0"/>
        <w:pageBreakBefore w:val="0"/>
        <w:widowControl/>
        <w:numPr>
          <w:ilvl w:val="0"/>
          <w:numId w:val="1"/>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调味品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2761-2017《食品安全国家标准 食品中真菌毒素限量》、LS/T 3220-2017《芝麻酱》、QB/T 1733.4-2015《花生酱》、卫生部办公厅关于通报食品及食品添加剂邻苯二甲酸酯类物质最大残留量的函(卫办监督函〔2011〕551号)、GB 2719-2018《食品安全国家标准 食醋》、GB 2760-2014《食品安全国家标准 食品添加剂使用标准》、产品明示标准和质量要求等标准及产品明示标准和指标的要求。</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1、坚果与籽类的泥(酱)抽检项目包括过氧化值(以脂肪计)、邻苯二甲酸二丁酯(DBP)、黄曲霉毒素B₁。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2、食醋抽检项目包括总酸(以乙酸计)、苯甲酸及其钠盐(以苯甲酸计)、菌落总数。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b/>
          <w:bCs/>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三、食用油、油脂及其制品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（一）抽检依据</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GB 2760-2014《食品安全国家标准 食品添加剂使用标准》、GB 2762-2017《食品安全国家标准 食品中污染物限量》、GB 2762-2022《食品安全国家标准 食品中污染物限量》、GB/T 1535-2017《大豆油》、GB/T 1534-2017《花生油》、GB 2716-2018《食品安全国家标准 植物油》、GB/T 8233-2018《芝麻油》、GB 2761-2017《食品安全国家标准 食品中真菌毒素限量》等标准及产品明示标准和指标的要求。</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 xml:space="preserve">   （二）检验项目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1、大豆油抽检项目包括溶剂残留量、特丁基对苯二酚(TBHQ)、苯并[a]芘、过氧化值、酸价(KOH)。</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2、芝麻油抽检项目包括乙基麦芽酚、溶剂残留量、苯并[a]芘、过氧化值、酸价(KOH)。</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3、花生油抽检项目包括溶剂残留量、特丁基对苯二酚(TBHQ)、苯并[a]芘、过氧化值、酸价(KOH)、黄曲霉毒素B₁。</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638" w:leftChars="304" w:firstLine="0" w:firstLineChars="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b/>
          <w:bCs/>
          <w:i w:val="0"/>
          <w:iCs w:val="0"/>
          <w:color w:val="000000"/>
          <w:kern w:val="0"/>
          <w:sz w:val="32"/>
          <w:szCs w:val="32"/>
          <w:u w:val="none"/>
          <w:lang w:val="en-US" w:eastAsia="zh-CN" w:bidi="ar"/>
        </w:rPr>
        <w:t>四、饼干</w:t>
      </w:r>
      <w:r>
        <w:rPr>
          <w:rFonts w:hint="eastAsia" w:ascii="仿宋_GB2312" w:hAnsi="仿宋_GB2312" w:eastAsia="仿宋_GB2312" w:cs="仿宋_GB2312"/>
          <w:i w:val="0"/>
          <w:iCs w:val="0"/>
          <w:color w:val="000000"/>
          <w:kern w:val="0"/>
          <w:sz w:val="32"/>
          <w:szCs w:val="32"/>
          <w:u w:val="none"/>
          <w:lang w:val="en-US" w:eastAsia="zh-CN" w:bidi="ar"/>
        </w:rPr>
        <w:br w:type="textWrapping"/>
      </w:r>
      <w:r>
        <w:rPr>
          <w:rFonts w:hint="eastAsia" w:ascii="仿宋_GB2312" w:hAnsi="仿宋_GB2312" w:eastAsia="仿宋_GB2312" w:cs="仿宋_GB2312"/>
          <w:i w:val="0"/>
          <w:iCs w:val="0"/>
          <w:color w:val="000000"/>
          <w:kern w:val="0"/>
          <w:sz w:val="32"/>
          <w:szCs w:val="32"/>
          <w:u w:val="none"/>
          <w:lang w:val="en-US" w:eastAsia="zh-CN" w:bidi="ar"/>
        </w:rPr>
        <w:t>（一）抽检依据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firstLine="640" w:firstLineChars="2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 xml:space="preserve">GB 7100-2015《食品安全国家标准 饼干》等标准及产品明示标准和指标的要求。  </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319" w:leftChars="152" w:firstLine="320" w:firstLineChars="100"/>
        <w:jc w:val="left"/>
        <w:textAlignment w:val="center"/>
        <w:rPr>
          <w:rFonts w:hint="eastAsia" w:ascii="仿宋_GB2312" w:hAnsi="仿宋_GB2312" w:eastAsia="仿宋_GB2312" w:cs="仿宋_GB2312"/>
          <w:i w:val="0"/>
          <w:iCs w:val="0"/>
          <w:color w:val="000000"/>
          <w:kern w:val="0"/>
          <w:sz w:val="32"/>
          <w:szCs w:val="32"/>
          <w:u w:val="none"/>
          <w:lang w:val="en-US" w:eastAsia="zh-CN" w:bidi="ar"/>
        </w:rPr>
      </w:pPr>
      <w:r>
        <w:rPr>
          <w:rFonts w:hint="eastAsia" w:ascii="仿宋_GB2312" w:hAnsi="仿宋_GB2312" w:eastAsia="仿宋_GB2312" w:cs="仿宋_GB2312"/>
          <w:i w:val="0"/>
          <w:iCs w:val="0"/>
          <w:color w:val="000000"/>
          <w:kern w:val="0"/>
          <w:sz w:val="32"/>
          <w:szCs w:val="32"/>
          <w:u w:val="none"/>
          <w:lang w:val="en-US" w:eastAsia="zh-CN" w:bidi="ar"/>
        </w:rPr>
        <w:t>（二）检验项目</w:t>
      </w:r>
    </w:p>
    <w:p>
      <w:pPr>
        <w:keepNext w:val="0"/>
        <w:keepLines w:val="0"/>
        <w:pageBreakBefore w:val="0"/>
        <w:widowControl/>
        <w:numPr>
          <w:ilvl w:val="0"/>
          <w:numId w:val="0"/>
        </w:numPr>
        <w:suppressLineNumbers w:val="0"/>
        <w:kinsoku/>
        <w:wordWrap/>
        <w:overflowPunct/>
        <w:topLinePunct w:val="0"/>
        <w:autoSpaceDE/>
        <w:autoSpaceDN/>
        <w:bidi w:val="0"/>
        <w:adjustRightInd w:val="0"/>
        <w:snapToGrid/>
        <w:ind w:left="319" w:leftChars="152" w:firstLine="320" w:firstLineChars="100"/>
        <w:jc w:val="left"/>
        <w:textAlignment w:val="center"/>
        <w:rPr>
          <w:rFonts w:hint="eastAsia" w:ascii="仿宋" w:hAnsi="仿宋" w:eastAsia="仿宋" w:cs="仿宋"/>
          <w:b w:val="0"/>
          <w:bCs w:val="0"/>
          <w:sz w:val="32"/>
          <w:szCs w:val="32"/>
          <w:lang w:val="en-US" w:eastAsia="zh-CN"/>
        </w:rPr>
      </w:pPr>
      <w:r>
        <w:rPr>
          <w:rFonts w:hint="eastAsia" w:ascii="仿宋_GB2312" w:hAnsi="仿宋_GB2312" w:eastAsia="仿宋_GB2312" w:cs="仿宋_GB2312"/>
          <w:i w:val="0"/>
          <w:iCs w:val="0"/>
          <w:color w:val="000000"/>
          <w:kern w:val="0"/>
          <w:sz w:val="32"/>
          <w:szCs w:val="32"/>
          <w:u w:val="none"/>
          <w:lang w:val="en-US" w:eastAsia="zh-CN" w:bidi="ar"/>
        </w:rPr>
        <w:t>饼干抽检项目包括过氧化值(以脂肪计)。</w:t>
      </w:r>
      <w:r>
        <w:rPr>
          <w:rFonts w:hint="eastAsia" w:ascii="仿宋_GB2312" w:hAnsi="仿宋_GB2312" w:eastAsia="仿宋_GB2312" w:cs="仿宋_GB2312"/>
          <w:i w:val="0"/>
          <w:iCs w:val="0"/>
          <w:color w:val="000000"/>
          <w:kern w:val="0"/>
          <w:sz w:val="32"/>
          <w:szCs w:val="32"/>
          <w:u w:val="none"/>
          <w:lang w:val="en-US" w:eastAsia="zh-CN" w:bidi="ar"/>
        </w:rPr>
        <w:br w:type="textWrapping"/>
      </w:r>
    </w:p>
    <w:sectPr>
      <w:headerReference r:id="rId3" w:type="default"/>
      <w:footerReference r:id="rId4" w:type="default"/>
      <w:pgSz w:w="11906" w:h="16838"/>
      <w:pgMar w:top="1474" w:right="1984" w:bottom="1587" w:left="2098" w:header="851" w:footer="992" w:gutter="0"/>
      <w:pgNumType w:fmt="numberInDash"/>
      <w:cols w:space="0" w:num="1"/>
      <w:rtlGutter w:val="0"/>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Gulim">
    <w:panose1 w:val="020B0600000101010101"/>
    <w:charset w:val="81"/>
    <w:family w:val="auto"/>
    <w:pitch w:val="default"/>
    <w:sig w:usb0="B00002AF" w:usb1="69D77CFB" w:usb2="00000030" w:usb3="00000000" w:csb0="4008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-180975</wp:posOffset>
              </wp:positionV>
              <wp:extent cx="615315" cy="347345"/>
              <wp:effectExtent l="0" t="0" r="0" b="0"/>
              <wp:wrapNone/>
              <wp:docPr id="31" name="文本框 31"/>
              <wp:cNvGraphicFramePr/>
              <a:graphic xmlns:a="http://schemas.openxmlformats.org/drawingml/2006/main">
                <a:graphicData uri="http://schemas.microsoft.com/office/word/2010/wordprocessingShape">
                  <wps:wsp>
                    <wps:cNvSpPr txBox="1"/>
                    <wps:spPr>
                      <a:xfrm>
                        <a:off x="0" y="0"/>
                        <a:ext cx="615315" cy="34734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14.25pt;height:27.35pt;width:48.45pt;mso-position-horizontal:outside;mso-position-horizontal-relative:margin;z-index:251659264;mso-width-relative:page;mso-height-relative:page;" filled="f" stroked="f" coordsize="21600,21600" o:gfxdata="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">
              <v:fill on="f" focussize="0,0"/>
              <v:stroke on="f" weight="0.5pt"/>
              <v:imagedata o:title=""/>
              <o:lock v:ext="edit" aspectratio="f"/>
              <v:textbox inset="0mm,0mm,0mm,0mm">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7225DD0"/>
    <w:multiLevelType w:val="singleLevel"/>
    <w:tmpl w:val="57225DD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8"/>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NlNWI2MWU3MzRlZmYwMWEzYWI2OTE5ZmFiMTM1ZGIifQ=="/>
  </w:docVars>
  <w:rsids>
    <w:rsidRoot w:val="00000000"/>
    <w:rsid w:val="03A27284"/>
    <w:rsid w:val="071865E1"/>
    <w:rsid w:val="0ADD733E"/>
    <w:rsid w:val="0D8B3F6A"/>
    <w:rsid w:val="0D9023A9"/>
    <w:rsid w:val="108D6FAC"/>
    <w:rsid w:val="1131366D"/>
    <w:rsid w:val="15173E9B"/>
    <w:rsid w:val="1E796FA2"/>
    <w:rsid w:val="206C1355"/>
    <w:rsid w:val="216B6BDB"/>
    <w:rsid w:val="28FA5F3C"/>
    <w:rsid w:val="2DD33055"/>
    <w:rsid w:val="31C41AB3"/>
    <w:rsid w:val="32592E08"/>
    <w:rsid w:val="34CE05A6"/>
    <w:rsid w:val="363B751A"/>
    <w:rsid w:val="36AD202E"/>
    <w:rsid w:val="3A03783A"/>
    <w:rsid w:val="3A9C4EFC"/>
    <w:rsid w:val="3ED005A8"/>
    <w:rsid w:val="4662010E"/>
    <w:rsid w:val="46B21156"/>
    <w:rsid w:val="4B055E71"/>
    <w:rsid w:val="53385BFD"/>
    <w:rsid w:val="54C15AE3"/>
    <w:rsid w:val="56971CB1"/>
    <w:rsid w:val="5CA27006"/>
    <w:rsid w:val="5D3329F2"/>
    <w:rsid w:val="62F46516"/>
    <w:rsid w:val="68125C46"/>
    <w:rsid w:val="6FA567C3"/>
    <w:rsid w:val="70D07D2B"/>
    <w:rsid w:val="70EF7908"/>
    <w:rsid w:val="756A4826"/>
    <w:rsid w:val="792B7972"/>
    <w:rsid w:val="79B07BCB"/>
    <w:rsid w:val="7AFD12F5"/>
    <w:rsid w:val="7DA72C8B"/>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6">
    <w:name w:val="Default Paragraph Font"/>
    <w:semiHidden/>
    <w:qFormat/>
    <w:uiPriority w:val="0"/>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7">
    <w:name w:val="Strong"/>
    <w:qFormat/>
    <w:uiPriority w:val="22"/>
    <w:rPr>
      <w:b/>
      <w:bCs/>
    </w:rPr>
  </w:style>
  <w:style w:type="paragraph" w:customStyle="1" w:styleId="8">
    <w:name w:val="List Paragraph1"/>
    <w:basedOn w:val="1"/>
    <w:qFormat/>
    <w:uiPriority w:val="99"/>
    <w:pPr>
      <w:ind w:firstLine="420" w:firstLineChars="200"/>
    </w:pPr>
  </w:style>
  <w:style w:type="character" w:customStyle="1" w:styleId="9">
    <w:name w:val="font61"/>
    <w:basedOn w:val="6"/>
    <w:qFormat/>
    <w:uiPriority w:val="0"/>
    <w:rPr>
      <w:rFonts w:hint="eastAsia" w:ascii="宋体" w:hAnsi="宋体" w:eastAsia="宋体" w:cs="宋体"/>
      <w:color w:val="000000"/>
      <w:sz w:val="20"/>
      <w:szCs w:val="20"/>
      <w:u w:val="none"/>
    </w:rPr>
  </w:style>
  <w:style w:type="character" w:customStyle="1" w:styleId="10">
    <w:name w:val="font31"/>
    <w:basedOn w:val="6"/>
    <w:qFormat/>
    <w:uiPriority w:val="0"/>
    <w:rPr>
      <w:rFonts w:hint="default" w:ascii="Times New Roman" w:hAnsi="Times New Roman" w:cs="Times New Roman"/>
      <w:b/>
      <w:bCs/>
      <w:color w:val="000000"/>
      <w:sz w:val="20"/>
      <w:szCs w:val="20"/>
      <w:u w:val="none"/>
    </w:rPr>
  </w:style>
  <w:style w:type="character" w:customStyle="1" w:styleId="11">
    <w:name w:val="font01"/>
    <w:basedOn w:val="6"/>
    <w:qFormat/>
    <w:uiPriority w:val="0"/>
    <w:rPr>
      <w:rFonts w:hint="eastAsia" w:ascii="宋体" w:hAnsi="宋体" w:eastAsia="宋体" w:cs="宋体"/>
      <w:b/>
      <w:bCs/>
      <w:color w:val="000000"/>
      <w:sz w:val="20"/>
      <w:szCs w:val="20"/>
      <w:u w:val="none"/>
    </w:rPr>
  </w:style>
  <w:style w:type="character" w:customStyle="1" w:styleId="12">
    <w:name w:val="font51"/>
    <w:basedOn w:val="6"/>
    <w:qFormat/>
    <w:uiPriority w:val="0"/>
    <w:rPr>
      <w:rFonts w:hint="default" w:ascii="Times New Roman" w:hAnsi="Times New Roman" w:cs="Times New Roman"/>
      <w:color w:val="000000"/>
      <w:sz w:val="20"/>
      <w:szCs w:val="20"/>
      <w:u w:val="none"/>
    </w:rPr>
  </w:style>
  <w:style w:type="character" w:customStyle="1" w:styleId="13">
    <w:name w:val="font41"/>
    <w:basedOn w:val="6"/>
    <w:qFormat/>
    <w:uiPriority w:val="0"/>
    <w:rPr>
      <w:rFonts w:hint="eastAsia" w:ascii="仿宋" w:hAnsi="仿宋" w:eastAsia="仿宋" w:cs="仿宋"/>
      <w:color w:val="000000"/>
      <w:sz w:val="20"/>
      <w:szCs w:val="20"/>
      <w:u w:val="none"/>
    </w:rPr>
  </w:style>
  <w:style w:type="character" w:customStyle="1" w:styleId="14">
    <w:name w:val="font11"/>
    <w:basedOn w:val="6"/>
    <w:qFormat/>
    <w:uiPriority w:val="0"/>
    <w:rPr>
      <w:rFonts w:hint="eastAsia" w:ascii="宋体" w:hAnsi="宋体" w:eastAsia="宋体" w:cs="宋体"/>
      <w:b/>
      <w:bCs/>
      <w:color w:val="000000"/>
      <w:sz w:val="20"/>
      <w:szCs w:val="20"/>
      <w:u w:val="none"/>
    </w:rPr>
  </w:style>
  <w:style w:type="character" w:customStyle="1" w:styleId="15">
    <w:name w:val="font21"/>
    <w:basedOn w:val="6"/>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2913</Words>
  <Characters>3277</Characters>
  <Lines>0</Lines>
  <Paragraphs>0</Paragraphs>
  <TotalTime>3</TotalTime>
  <ScaleCrop>false</ScaleCrop>
  <LinksUpToDate>false</LinksUpToDate>
  <CharactersWithSpaces>3341</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2021-01-13T01:01:00Z</dcterms:created>
  <dc:creator>Administrator</dc:creator>
  <cp:lastModifiedBy>Administrator</cp:lastModifiedBy>
  <cp:lastPrinted>2021-01-18T06:34:00Z</cp:lastPrinted>
  <dcterms:modified xsi:type="dcterms:W3CDTF">2023-09-21T03:48:13Z</dcterms:modified>
  <dc:title>新密市监函〔2021〕  号</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B4AE8751C7BB4A639EEEB25AE59320C6_13</vt:lpwstr>
  </property>
</Properties>
</file>