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36"/>
          <w:szCs w:val="36"/>
          <w:lang w:val="en-US" w:eastAsia="zh-CN"/>
        </w:rPr>
      </w:pPr>
      <w:r>
        <w:rPr>
          <w:rFonts w:hint="eastAsia"/>
          <w:b/>
          <w:bCs/>
          <w:sz w:val="28"/>
          <w:szCs w:val="28"/>
          <w:lang w:val="en-US" w:eastAsia="zh-CN"/>
        </w:rPr>
        <w:t xml:space="preserve">附件1： </w:t>
      </w:r>
      <w:r>
        <w:rPr>
          <w:rFonts w:hint="eastAsia"/>
          <w:b/>
          <w:bCs/>
          <w:sz w:val="36"/>
          <w:szCs w:val="36"/>
          <w:lang w:val="en-US" w:eastAsia="zh-CN"/>
        </w:rPr>
        <w:t xml:space="preserve">     </w:t>
      </w:r>
    </w:p>
    <w:p>
      <w:pPr>
        <w:ind w:firstLine="3253" w:firstLineChars="900"/>
        <w:jc w:val="both"/>
        <w:rPr>
          <w:b/>
          <w:bCs/>
          <w:sz w:val="36"/>
          <w:szCs w:val="36"/>
        </w:rPr>
      </w:pPr>
      <w:r>
        <w:rPr>
          <w:rFonts w:hint="eastAsia"/>
          <w:b/>
          <w:bCs/>
          <w:sz w:val="36"/>
          <w:szCs w:val="36"/>
        </w:rPr>
        <w:t>本次检验项目</w:t>
      </w:r>
    </w:p>
    <w:p>
      <w:pPr>
        <w:keepNext w:val="0"/>
        <w:keepLines w:val="0"/>
        <w:pageBreakBefore w:val="0"/>
        <w:widowControl w:val="0"/>
        <w:numPr>
          <w:ilvl w:val="0"/>
          <w:numId w:val="1"/>
        </w:numPr>
        <w:kinsoku/>
        <w:overflowPunct/>
        <w:topLinePunct w:val="0"/>
        <w:autoSpaceDE/>
        <w:autoSpaceDN/>
        <w:bidi w:val="0"/>
        <w:adjustRightInd/>
        <w:snapToGrid/>
        <w:spacing w:line="500" w:lineRule="exact"/>
        <w:ind w:left="0" w:leftChars="0" w:firstLine="420" w:firstLineChars="0"/>
        <w:textAlignment w:val="auto"/>
        <w:rPr>
          <w:rFonts w:hint="eastAsia" w:ascii="仿宋" w:hAnsi="仿宋" w:eastAsia="仿宋" w:cs="仿宋_GB2312"/>
          <w:b/>
          <w:bCs/>
          <w:sz w:val="30"/>
          <w:szCs w:val="30"/>
        </w:rPr>
      </w:pPr>
      <w:r>
        <w:rPr>
          <w:rFonts w:hint="eastAsia" w:ascii="仿宋" w:hAnsi="仿宋" w:eastAsia="仿宋" w:cs="仿宋_GB2312"/>
          <w:b/>
          <w:bCs/>
          <w:sz w:val="30"/>
          <w:szCs w:val="30"/>
        </w:rPr>
        <w:t>餐饮食品</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（一）抽检依据</w:t>
      </w:r>
    </w:p>
    <w:p>
      <w:pPr>
        <w:keepNext w:val="0"/>
        <w:keepLines w:val="0"/>
        <w:pageBreakBefore w:val="0"/>
        <w:widowControl w:val="0"/>
        <w:kinsoku/>
        <w:wordWrap w:val="0"/>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rPr>
        <w:t>抽检依据是</w:t>
      </w:r>
      <w:r>
        <w:rPr>
          <w:rFonts w:hint="default" w:ascii="仿宋" w:hAnsi="仿宋" w:eastAsia="仿宋" w:cs="仿宋_GB2312"/>
          <w:sz w:val="30"/>
          <w:szCs w:val="30"/>
          <w:lang w:val="en-US" w:eastAsia="zh-CN"/>
        </w:rPr>
        <w:t>GB 14934-2016、GB 2761-2017、GB 2762-2017、整顿办函[2011]1号</w:t>
      </w:r>
      <w:r>
        <w:rPr>
          <w:rFonts w:hint="eastAsia" w:ascii="仿宋" w:hAnsi="仿宋" w:eastAsia="仿宋" w:cs="仿宋_GB2312"/>
          <w:sz w:val="30"/>
          <w:szCs w:val="30"/>
        </w:rPr>
        <w:t>等标准及产品明示标准和指标的要求。</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（二）检验项目</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default" w:ascii="仿宋" w:hAnsi="仿宋" w:eastAsia="仿宋" w:cs="仿宋_GB2312"/>
          <w:sz w:val="30"/>
          <w:szCs w:val="30"/>
          <w:lang w:val="en-US" w:eastAsia="zh-CN"/>
        </w:rPr>
      </w:pPr>
      <w:r>
        <w:rPr>
          <w:rFonts w:hint="eastAsia" w:ascii="仿宋" w:hAnsi="仿宋" w:eastAsia="仿宋" w:cs="仿宋_GB2312"/>
          <w:sz w:val="30"/>
          <w:szCs w:val="30"/>
        </w:rPr>
        <w:t>餐饮食品抽检项目包括</w:t>
      </w:r>
      <w:r>
        <w:rPr>
          <w:rFonts w:hint="default" w:ascii="仿宋" w:hAnsi="仿宋" w:eastAsia="仿宋" w:cs="仿宋_GB2312"/>
          <w:sz w:val="30"/>
          <w:szCs w:val="30"/>
          <w:lang w:val="en-US" w:eastAsia="zh-CN"/>
        </w:rPr>
        <w:t>阴离子合成洗涤剂(以十二烷基苯磺酸钠计)、大肠菌群、罂粟碱、吗啡、可待因、那可丁、铬(以Cr计)、黄曲霉毒素B₁</w:t>
      </w:r>
      <w:r>
        <w:rPr>
          <w:rFonts w:hint="eastAsia" w:ascii="仿宋" w:hAnsi="仿宋" w:eastAsia="仿宋" w:cs="仿宋_GB2312"/>
          <w:sz w:val="30"/>
          <w:szCs w:val="30"/>
        </w:rPr>
        <w:t>。</w:t>
      </w:r>
    </w:p>
    <w:p>
      <w:pPr>
        <w:keepNext w:val="0"/>
        <w:keepLines w:val="0"/>
        <w:pageBreakBefore w:val="0"/>
        <w:widowControl w:val="0"/>
        <w:numPr>
          <w:ilvl w:val="0"/>
          <w:numId w:val="1"/>
        </w:numPr>
        <w:kinsoku/>
        <w:overflowPunct/>
        <w:topLinePunct w:val="0"/>
        <w:autoSpaceDE/>
        <w:autoSpaceDN/>
        <w:bidi w:val="0"/>
        <w:adjustRightInd/>
        <w:snapToGrid/>
        <w:spacing w:line="500" w:lineRule="exact"/>
        <w:ind w:left="0" w:leftChars="0" w:firstLine="420" w:firstLineChars="0"/>
        <w:textAlignment w:val="auto"/>
        <w:rPr>
          <w:rFonts w:hint="eastAsia" w:ascii="仿宋" w:hAnsi="仿宋" w:eastAsia="仿宋" w:cs="仿宋_GB2312"/>
          <w:b/>
          <w:bCs/>
          <w:sz w:val="30"/>
          <w:szCs w:val="30"/>
          <w:lang w:val="en-US" w:eastAsia="zh-CN"/>
        </w:rPr>
      </w:pPr>
      <w:r>
        <w:rPr>
          <w:rFonts w:hint="eastAsia" w:ascii="仿宋" w:hAnsi="仿宋" w:eastAsia="仿宋" w:cs="仿宋_GB2312"/>
          <w:b/>
          <w:bCs/>
          <w:sz w:val="30"/>
          <w:szCs w:val="30"/>
          <w:lang w:val="en-US" w:eastAsia="zh-CN"/>
        </w:rPr>
        <w:t>茶叶及相关制品</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（一）抽检依据</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rPr>
        <w:t>抽检依据</w:t>
      </w:r>
      <w:r>
        <w:rPr>
          <w:rFonts w:hint="eastAsia" w:ascii="仿宋" w:hAnsi="仿宋" w:eastAsia="仿宋" w:cs="仿宋_GB2312"/>
          <w:sz w:val="30"/>
          <w:szCs w:val="30"/>
          <w:lang w:val="en-US" w:eastAsia="zh-CN"/>
        </w:rPr>
        <w:t>是</w:t>
      </w:r>
      <w:r>
        <w:rPr>
          <w:rFonts w:hint="default" w:ascii="仿宋" w:hAnsi="仿宋" w:eastAsia="仿宋" w:cs="仿宋_GB2312"/>
          <w:sz w:val="30"/>
          <w:szCs w:val="30"/>
          <w:lang w:val="en-US" w:eastAsia="zh-CN"/>
        </w:rPr>
        <w:t>GB 2762-2017</w:t>
      </w:r>
      <w:r>
        <w:rPr>
          <w:rFonts w:hint="eastAsia" w:ascii="仿宋" w:hAnsi="仿宋" w:eastAsia="仿宋" w:cs="仿宋_GB2312"/>
          <w:sz w:val="30"/>
          <w:szCs w:val="30"/>
          <w:lang w:val="en-US" w:eastAsia="zh-CN"/>
        </w:rPr>
        <w:t>、GB 2763-2021等标准及产品明示标准和指标的要求。</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rPr>
        <w:t>（二）检验项目</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default" w:ascii="仿宋" w:hAnsi="仿宋" w:eastAsia="仿宋" w:cs="仿宋_GB2312"/>
          <w:sz w:val="30"/>
          <w:szCs w:val="30"/>
          <w:lang w:val="en-US" w:eastAsia="zh-CN"/>
        </w:rPr>
      </w:pPr>
      <w:r>
        <w:rPr>
          <w:rFonts w:hint="eastAsia" w:ascii="仿宋" w:hAnsi="仿宋" w:eastAsia="仿宋" w:cs="仿宋_GB2312"/>
          <w:sz w:val="30"/>
          <w:szCs w:val="30"/>
          <w:lang w:val="en-US" w:eastAsia="zh-CN"/>
        </w:rPr>
        <w:t>茶叶及相关制品抽检项目包括</w:t>
      </w:r>
      <w:r>
        <w:rPr>
          <w:rFonts w:hint="default" w:ascii="仿宋" w:hAnsi="仿宋" w:eastAsia="仿宋" w:cs="仿宋_GB2312"/>
          <w:sz w:val="30"/>
          <w:szCs w:val="30"/>
          <w:lang w:val="en-US" w:eastAsia="zh-CN"/>
        </w:rPr>
        <w:t>铅(以Pb</w:t>
      </w:r>
      <w:bookmarkStart w:id="0" w:name="_GoBack"/>
      <w:bookmarkEnd w:id="0"/>
      <w:r>
        <w:rPr>
          <w:rFonts w:hint="default" w:ascii="仿宋" w:hAnsi="仿宋" w:eastAsia="仿宋" w:cs="仿宋_GB2312"/>
          <w:sz w:val="30"/>
          <w:szCs w:val="30"/>
          <w:lang w:val="en-US" w:eastAsia="zh-CN"/>
        </w:rPr>
        <w:t>计)、草甘膦、吡虫啉、乙酰甲胺磷、联苯菊酯、灭多威、三氯杀螨醇、氰戊菊酯和S-氰戊菊酯、甲拌磷、克百威、水胺硫磷、氧乐果、毒死蜱、毒虫畏、甲氧滴滴涕、特乐酚</w:t>
      </w:r>
      <w:r>
        <w:rPr>
          <w:rFonts w:hint="eastAsia" w:ascii="仿宋" w:hAnsi="仿宋" w:eastAsia="仿宋" w:cs="仿宋_GB2312"/>
          <w:sz w:val="30"/>
          <w:szCs w:val="30"/>
          <w:lang w:val="en-US" w:eastAsia="zh-CN"/>
        </w:rPr>
        <w:t>。</w:t>
      </w:r>
    </w:p>
    <w:p>
      <w:pPr>
        <w:keepNext w:val="0"/>
        <w:keepLines w:val="0"/>
        <w:pageBreakBefore w:val="0"/>
        <w:widowControl w:val="0"/>
        <w:numPr>
          <w:ilvl w:val="0"/>
          <w:numId w:val="1"/>
        </w:numPr>
        <w:kinsoku/>
        <w:overflowPunct/>
        <w:topLinePunct w:val="0"/>
        <w:autoSpaceDE/>
        <w:autoSpaceDN/>
        <w:bidi w:val="0"/>
        <w:adjustRightInd/>
        <w:snapToGrid/>
        <w:spacing w:line="500" w:lineRule="exact"/>
        <w:ind w:left="0" w:leftChars="0" w:firstLine="420" w:firstLineChars="0"/>
        <w:textAlignment w:val="auto"/>
        <w:rPr>
          <w:rFonts w:hint="eastAsia" w:ascii="仿宋" w:hAnsi="仿宋" w:eastAsia="仿宋" w:cs="仿宋_GB2312"/>
          <w:b/>
          <w:bCs/>
          <w:sz w:val="30"/>
          <w:szCs w:val="30"/>
          <w:lang w:val="en-US" w:eastAsia="zh-CN"/>
        </w:rPr>
      </w:pPr>
      <w:r>
        <w:rPr>
          <w:rFonts w:hint="eastAsia" w:ascii="仿宋" w:hAnsi="仿宋" w:eastAsia="仿宋" w:cs="仿宋_GB2312"/>
          <w:b/>
          <w:bCs/>
          <w:sz w:val="30"/>
          <w:szCs w:val="30"/>
          <w:lang w:val="en-US" w:eastAsia="zh-CN"/>
        </w:rPr>
        <w:t>方便食品</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（一）抽检依据</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sz w:val="30"/>
          <w:szCs w:val="30"/>
          <w:lang w:eastAsia="zh-CN"/>
        </w:rPr>
      </w:pPr>
      <w:r>
        <w:rPr>
          <w:rFonts w:hint="eastAsia" w:ascii="仿宋" w:hAnsi="仿宋" w:eastAsia="仿宋" w:cs="仿宋_GB2312"/>
          <w:sz w:val="30"/>
          <w:szCs w:val="30"/>
        </w:rPr>
        <w:t>抽检依据是</w:t>
      </w:r>
      <w:r>
        <w:rPr>
          <w:rFonts w:hint="default" w:ascii="仿宋" w:hAnsi="仿宋" w:eastAsia="仿宋" w:cs="仿宋_GB2312"/>
          <w:sz w:val="30"/>
          <w:szCs w:val="30"/>
          <w:lang w:val="en-US" w:eastAsia="zh-CN"/>
        </w:rPr>
        <w:t>GB 17400-2015</w:t>
      </w:r>
      <w:r>
        <w:rPr>
          <w:rFonts w:hint="eastAsia" w:ascii="仿宋" w:hAnsi="仿宋" w:eastAsia="仿宋" w:cs="仿宋_GB2312"/>
          <w:sz w:val="30"/>
          <w:szCs w:val="30"/>
          <w:lang w:val="en-US" w:eastAsia="zh-CN"/>
        </w:rPr>
        <w:t>、GB 2760-2014</w:t>
      </w:r>
      <w:r>
        <w:rPr>
          <w:rFonts w:hint="eastAsia" w:ascii="仿宋" w:hAnsi="仿宋" w:eastAsia="仿宋" w:cs="仿宋_GB2312"/>
          <w:sz w:val="30"/>
          <w:szCs w:val="30"/>
        </w:rPr>
        <w:t>等标准及产品明示标准和指标的要求</w:t>
      </w:r>
      <w:r>
        <w:rPr>
          <w:rFonts w:hint="eastAsia" w:ascii="仿宋" w:hAnsi="仿宋" w:eastAsia="仿宋" w:cs="仿宋_GB2312"/>
          <w:sz w:val="30"/>
          <w:szCs w:val="30"/>
          <w:lang w:eastAsia="zh-CN"/>
        </w:rPr>
        <w:t>。</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color w:val="5B9BD5" w:themeColor="accent1"/>
          <w:sz w:val="30"/>
          <w:szCs w:val="30"/>
          <w:lang w:eastAsia="zh-CN"/>
          <w14:textFill>
            <w14:solidFill>
              <w14:schemeClr w14:val="accent1"/>
            </w14:solidFill>
          </w14:textFill>
        </w:rPr>
      </w:pPr>
      <w:r>
        <w:rPr>
          <w:rFonts w:hint="eastAsia" w:ascii="仿宋" w:hAnsi="仿宋" w:eastAsia="仿宋" w:cs="仿宋_GB2312"/>
          <w:sz w:val="30"/>
          <w:szCs w:val="30"/>
        </w:rPr>
        <w:t>（二）检验项目</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default" w:ascii="仿宋" w:hAnsi="仿宋" w:eastAsia="仿宋" w:cs="仿宋_GB2312"/>
          <w:sz w:val="30"/>
          <w:szCs w:val="30"/>
          <w:highlight w:val="none"/>
          <w:lang w:val="en-US" w:eastAsia="zh-CN"/>
        </w:rPr>
      </w:pPr>
      <w:r>
        <w:rPr>
          <w:rFonts w:hint="eastAsia" w:ascii="仿宋" w:hAnsi="仿宋" w:eastAsia="仿宋" w:cs="仿宋_GB2312"/>
          <w:sz w:val="30"/>
          <w:szCs w:val="30"/>
          <w:highlight w:val="none"/>
          <w:lang w:val="en-US" w:eastAsia="zh-CN"/>
        </w:rPr>
        <w:t>方便食品抽检项目包括</w:t>
      </w:r>
      <w:r>
        <w:rPr>
          <w:rFonts w:hint="eastAsia" w:ascii="仿宋_GB2312" w:hAnsi="仿宋_GB2312" w:eastAsia="仿宋_GB2312" w:cs="仿宋_GB2312"/>
          <w:kern w:val="2"/>
          <w:sz w:val="30"/>
          <w:szCs w:val="30"/>
          <w:lang w:val="en-US" w:eastAsia="zh-CN" w:bidi="ar-SA"/>
        </w:rPr>
        <w:t>苯甲酸及其钠盐(以苯甲酸计)、大肠菌群、过氧化值(以脂肪计)、菌落总数、山梨酸及其钾盐(以山梨酸计)、水分、酸价(以脂肪计)(KOH)、糖精钠(以糖精计)、脱氢乙酸及其钠盐(以脱氢乙酸计)</w:t>
      </w:r>
      <w:r>
        <w:rPr>
          <w:rFonts w:hint="eastAsia" w:ascii="仿宋" w:hAnsi="仿宋" w:eastAsia="仿宋" w:cs="仿宋_GB2312"/>
          <w:sz w:val="30"/>
          <w:szCs w:val="30"/>
          <w:highlight w:val="none"/>
          <w:lang w:val="en-US" w:eastAsia="zh-CN"/>
        </w:rPr>
        <w:t>。</w:t>
      </w:r>
    </w:p>
    <w:p>
      <w:pPr>
        <w:keepNext w:val="0"/>
        <w:keepLines w:val="0"/>
        <w:pageBreakBefore w:val="0"/>
        <w:widowControl w:val="0"/>
        <w:numPr>
          <w:ilvl w:val="0"/>
          <w:numId w:val="1"/>
        </w:numPr>
        <w:kinsoku/>
        <w:overflowPunct/>
        <w:topLinePunct w:val="0"/>
        <w:autoSpaceDE/>
        <w:autoSpaceDN/>
        <w:bidi w:val="0"/>
        <w:adjustRightInd/>
        <w:snapToGrid/>
        <w:spacing w:line="500" w:lineRule="exact"/>
        <w:ind w:left="0" w:leftChars="0" w:firstLine="420" w:firstLineChars="0"/>
        <w:textAlignment w:val="auto"/>
        <w:rPr>
          <w:rFonts w:hint="eastAsia" w:ascii="仿宋" w:hAnsi="仿宋" w:eastAsia="仿宋" w:cs="仿宋_GB2312"/>
          <w:b/>
          <w:bCs/>
          <w:sz w:val="30"/>
          <w:szCs w:val="30"/>
          <w:lang w:val="en-US" w:eastAsia="zh-CN"/>
        </w:rPr>
      </w:pPr>
      <w:r>
        <w:rPr>
          <w:rFonts w:hint="eastAsia" w:ascii="仿宋" w:hAnsi="仿宋" w:eastAsia="仿宋" w:cs="仿宋_GB2312"/>
          <w:b/>
          <w:bCs/>
          <w:sz w:val="30"/>
          <w:szCs w:val="30"/>
          <w:lang w:val="en-US" w:eastAsia="zh-CN"/>
        </w:rPr>
        <w:t>冷冻饮品</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（一）抽检依据</w:t>
      </w:r>
    </w:p>
    <w:p>
      <w:pPr>
        <w:keepNext w:val="0"/>
        <w:keepLines w:val="0"/>
        <w:pageBreakBefore w:val="0"/>
        <w:widowControl w:val="0"/>
        <w:kinsoku/>
        <w:wordWrap w:val="0"/>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rPr>
        <w:t>抽检依据是</w:t>
      </w:r>
      <w:r>
        <w:rPr>
          <w:rFonts w:hint="default" w:ascii="仿宋" w:hAnsi="仿宋" w:eastAsia="仿宋" w:cs="仿宋_GB2312"/>
          <w:sz w:val="30"/>
          <w:szCs w:val="30"/>
          <w:lang w:val="en-US" w:eastAsia="zh-CN"/>
        </w:rPr>
        <w:t>GB 2759-2015、GB 2760-2014、GB 29921-2021、GB/T 31114-2014、GB/T 31119-2014</w:t>
      </w:r>
      <w:r>
        <w:rPr>
          <w:rFonts w:hint="eastAsia" w:ascii="仿宋" w:hAnsi="仿宋" w:eastAsia="仿宋" w:cs="仿宋_GB2312"/>
          <w:sz w:val="30"/>
          <w:szCs w:val="30"/>
        </w:rPr>
        <w:t>等标准及产品明示标准和指标的要求。</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color w:val="5B9BD5" w:themeColor="accent1"/>
          <w:sz w:val="30"/>
          <w:szCs w:val="30"/>
          <w:lang w:eastAsia="zh-CN"/>
          <w14:textFill>
            <w14:solidFill>
              <w14:schemeClr w14:val="accent1"/>
            </w14:solidFill>
          </w14:textFill>
        </w:rPr>
      </w:pPr>
      <w:r>
        <w:rPr>
          <w:rFonts w:hint="eastAsia" w:ascii="仿宋" w:hAnsi="仿宋" w:eastAsia="仿宋" w:cs="仿宋_GB2312"/>
          <w:sz w:val="30"/>
          <w:szCs w:val="30"/>
        </w:rPr>
        <w:t>（二）检验项目</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default" w:ascii="仿宋" w:hAnsi="仿宋" w:eastAsia="仿宋" w:cs="仿宋_GB2312"/>
          <w:sz w:val="30"/>
          <w:szCs w:val="30"/>
          <w:highlight w:val="none"/>
          <w:lang w:val="en-US" w:eastAsia="zh-CN"/>
        </w:rPr>
      </w:pPr>
      <w:r>
        <w:rPr>
          <w:rFonts w:hint="eastAsia" w:ascii="仿宋" w:hAnsi="仿宋" w:eastAsia="仿宋" w:cs="仿宋_GB2312"/>
          <w:sz w:val="30"/>
          <w:szCs w:val="30"/>
          <w:highlight w:val="none"/>
          <w:lang w:val="en-US" w:eastAsia="zh-CN"/>
        </w:rPr>
        <w:t>冷冻饮品抽检项目包括</w:t>
      </w:r>
      <w:r>
        <w:rPr>
          <w:rFonts w:hint="default" w:ascii="仿宋" w:hAnsi="仿宋" w:eastAsia="仿宋" w:cs="仿宋_GB2312"/>
          <w:sz w:val="30"/>
          <w:szCs w:val="30"/>
          <w:highlight w:val="none"/>
          <w:lang w:val="en-US" w:eastAsia="zh-CN"/>
        </w:rPr>
        <w:t>阿斯巴甜、大肠菌群、单核细胞增生李斯特氏菌、蛋白质、菌落总数、沙门氏菌、糖精钠(以糖精计)、甜蜜素(以环己基氨基磺酸计)</w:t>
      </w:r>
      <w:r>
        <w:rPr>
          <w:rFonts w:hint="eastAsia" w:ascii="仿宋" w:hAnsi="仿宋" w:eastAsia="仿宋" w:cs="仿宋_GB2312"/>
          <w:sz w:val="30"/>
          <w:szCs w:val="30"/>
          <w:highlight w:val="none"/>
          <w:lang w:val="en-US" w:eastAsia="zh-CN"/>
        </w:rPr>
        <w:t>。</w:t>
      </w:r>
    </w:p>
    <w:p>
      <w:pPr>
        <w:keepNext w:val="0"/>
        <w:keepLines w:val="0"/>
        <w:pageBreakBefore w:val="0"/>
        <w:widowControl w:val="0"/>
        <w:numPr>
          <w:ilvl w:val="0"/>
          <w:numId w:val="1"/>
        </w:numPr>
        <w:kinsoku/>
        <w:overflowPunct/>
        <w:topLinePunct w:val="0"/>
        <w:autoSpaceDE/>
        <w:autoSpaceDN/>
        <w:bidi w:val="0"/>
        <w:adjustRightInd/>
        <w:snapToGrid/>
        <w:spacing w:line="500" w:lineRule="exact"/>
        <w:ind w:left="0" w:leftChars="0" w:firstLine="420" w:firstLineChars="0"/>
        <w:textAlignment w:val="auto"/>
        <w:rPr>
          <w:rFonts w:hint="eastAsia" w:ascii="仿宋" w:hAnsi="仿宋" w:eastAsia="仿宋" w:cs="仿宋_GB2312"/>
          <w:b/>
          <w:bCs/>
          <w:sz w:val="30"/>
          <w:szCs w:val="30"/>
          <w:lang w:val="en-US" w:eastAsia="zh-CN"/>
        </w:rPr>
      </w:pPr>
      <w:r>
        <w:rPr>
          <w:rFonts w:hint="eastAsia" w:ascii="仿宋" w:hAnsi="仿宋" w:eastAsia="仿宋" w:cs="仿宋_GB2312"/>
          <w:b/>
          <w:bCs/>
          <w:sz w:val="30"/>
          <w:szCs w:val="30"/>
          <w:lang w:val="en-US" w:eastAsia="zh-CN"/>
        </w:rPr>
        <w:t>粮食加工品</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（一）抽检依据</w:t>
      </w:r>
    </w:p>
    <w:p>
      <w:pPr>
        <w:keepNext w:val="0"/>
        <w:keepLines w:val="0"/>
        <w:pageBreakBefore w:val="0"/>
        <w:widowControl w:val="0"/>
        <w:kinsoku/>
        <w:wordWrap w:val="0"/>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rPr>
        <w:t>抽检依据是</w:t>
      </w:r>
      <w:r>
        <w:rPr>
          <w:rFonts w:hint="default" w:ascii="仿宋" w:hAnsi="仿宋" w:eastAsia="仿宋" w:cs="仿宋_GB2312"/>
          <w:sz w:val="30"/>
          <w:szCs w:val="30"/>
          <w:lang w:val="en-US" w:eastAsia="zh-CN"/>
        </w:rPr>
        <w:t>GB 2760-2014、GB 2761-2017、GB 2762-2017、卫生部公告〔2011〕4号</w:t>
      </w:r>
      <w:r>
        <w:rPr>
          <w:rFonts w:hint="eastAsia" w:ascii="仿宋" w:hAnsi="仿宋" w:eastAsia="仿宋" w:cs="仿宋_GB2312"/>
          <w:sz w:val="30"/>
          <w:szCs w:val="30"/>
        </w:rPr>
        <w:t>等标准及产品明示标准和指标的要求。</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color w:val="5B9BD5" w:themeColor="accent1"/>
          <w:sz w:val="30"/>
          <w:szCs w:val="30"/>
          <w:lang w:eastAsia="zh-CN"/>
          <w14:textFill>
            <w14:solidFill>
              <w14:schemeClr w14:val="accent1"/>
            </w14:solidFill>
          </w14:textFill>
        </w:rPr>
      </w:pPr>
      <w:r>
        <w:rPr>
          <w:rFonts w:hint="eastAsia" w:ascii="仿宋" w:hAnsi="仿宋" w:eastAsia="仿宋" w:cs="仿宋_GB2312"/>
          <w:sz w:val="30"/>
          <w:szCs w:val="30"/>
        </w:rPr>
        <w:t>（二）检验项目</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default" w:ascii="仿宋" w:hAnsi="仿宋" w:eastAsia="仿宋" w:cs="仿宋_GB2312"/>
          <w:sz w:val="30"/>
          <w:szCs w:val="30"/>
          <w:lang w:val="en-US" w:eastAsia="zh-CN"/>
        </w:rPr>
      </w:pPr>
      <w:r>
        <w:rPr>
          <w:rFonts w:hint="eastAsia" w:ascii="仿宋" w:hAnsi="仿宋" w:eastAsia="仿宋" w:cs="仿宋_GB2312"/>
          <w:sz w:val="30"/>
          <w:szCs w:val="30"/>
          <w:lang w:val="en-US" w:eastAsia="zh-CN"/>
        </w:rPr>
        <w:t>粮食加工品抽检项目包括</w:t>
      </w:r>
      <w:r>
        <w:rPr>
          <w:rFonts w:hint="default" w:ascii="仿宋" w:hAnsi="仿宋" w:eastAsia="仿宋" w:cs="仿宋_GB2312"/>
          <w:sz w:val="30"/>
          <w:szCs w:val="30"/>
          <w:lang w:val="en-US" w:eastAsia="zh-CN"/>
        </w:rPr>
        <w:t>苯并[a]芘、苯甲酸及其钠盐(以苯甲酸计)、镉(以Cd计)、过氧化苯甲酰、黄曲霉毒素B₁、铅(以Pb计)、山梨酸及其钾盐(以山梨酸计)、脱氢乙酸及其钠盐(以脱氢乙酸计)、玉米赤霉烯酮、赭曲霉毒素A</w:t>
      </w:r>
      <w:r>
        <w:rPr>
          <w:rFonts w:hint="eastAsia" w:ascii="仿宋" w:hAnsi="仿宋" w:eastAsia="仿宋" w:cs="仿宋_GB2312"/>
          <w:sz w:val="30"/>
          <w:szCs w:val="30"/>
          <w:lang w:val="en-US" w:eastAsia="zh-CN"/>
        </w:rPr>
        <w:t>。</w:t>
      </w:r>
    </w:p>
    <w:p>
      <w:pPr>
        <w:keepNext w:val="0"/>
        <w:keepLines w:val="0"/>
        <w:pageBreakBefore w:val="0"/>
        <w:widowControl w:val="0"/>
        <w:numPr>
          <w:ilvl w:val="0"/>
          <w:numId w:val="1"/>
        </w:numPr>
        <w:kinsoku/>
        <w:overflowPunct/>
        <w:topLinePunct w:val="0"/>
        <w:autoSpaceDE/>
        <w:autoSpaceDN/>
        <w:bidi w:val="0"/>
        <w:adjustRightInd/>
        <w:snapToGrid/>
        <w:spacing w:line="500" w:lineRule="exact"/>
        <w:ind w:left="0" w:leftChars="0" w:firstLine="420" w:firstLineChars="0"/>
        <w:textAlignment w:val="auto"/>
        <w:rPr>
          <w:rFonts w:hint="eastAsia" w:ascii="仿宋" w:hAnsi="仿宋" w:eastAsia="仿宋" w:cs="仿宋_GB2312"/>
          <w:b/>
          <w:bCs/>
          <w:sz w:val="30"/>
          <w:szCs w:val="30"/>
          <w:lang w:val="en-US" w:eastAsia="zh-CN"/>
        </w:rPr>
      </w:pPr>
      <w:r>
        <w:rPr>
          <w:rFonts w:hint="eastAsia" w:ascii="仿宋" w:hAnsi="仿宋" w:eastAsia="仿宋" w:cs="仿宋_GB2312"/>
          <w:b/>
          <w:bCs/>
          <w:sz w:val="30"/>
          <w:szCs w:val="30"/>
          <w:lang w:val="en-US" w:eastAsia="zh-CN"/>
        </w:rPr>
        <w:t>食用农产品</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（一）抽检依据</w:t>
      </w:r>
    </w:p>
    <w:p>
      <w:pPr>
        <w:keepNext w:val="0"/>
        <w:keepLines w:val="0"/>
        <w:pageBreakBefore w:val="0"/>
        <w:widowControl w:val="0"/>
        <w:kinsoku/>
        <w:wordWrap w:val="0"/>
        <w:overflowPunct/>
        <w:topLinePunct w:val="0"/>
        <w:autoSpaceDE/>
        <w:autoSpaceDN/>
        <w:bidi w:val="0"/>
        <w:adjustRightInd/>
        <w:snapToGrid/>
        <w:spacing w:line="500" w:lineRule="exact"/>
        <w:ind w:left="0" w:leftChars="0" w:firstLine="786" w:firstLineChars="262"/>
        <w:textAlignment w:val="auto"/>
        <w:rPr>
          <w:rFonts w:hint="eastAsia" w:ascii="仿宋" w:hAnsi="仿宋" w:eastAsia="仿宋" w:cs="仿宋_GB2312"/>
          <w:sz w:val="30"/>
          <w:szCs w:val="30"/>
        </w:rPr>
      </w:pPr>
      <w:r>
        <w:rPr>
          <w:rFonts w:hint="eastAsia" w:ascii="仿宋" w:hAnsi="仿宋" w:eastAsia="仿宋" w:cs="仿宋_GB2312"/>
          <w:sz w:val="30"/>
          <w:szCs w:val="30"/>
        </w:rPr>
        <w:t>抽检依据是</w:t>
      </w:r>
      <w:r>
        <w:rPr>
          <w:rFonts w:hint="default" w:ascii="仿宋" w:hAnsi="仿宋" w:eastAsia="仿宋" w:cs="仿宋_GB2312"/>
          <w:sz w:val="30"/>
          <w:szCs w:val="30"/>
          <w:lang w:val="en-US" w:eastAsia="zh-CN"/>
        </w:rPr>
        <w:t>GB 22556-2008、GB 2707-2016、GB 2762-2017、GB 2763-2021、GB 31650-2019、国家食品药品监督管理总局农业部国家卫生和计划生育委员会关于豆芽生产过程中禁止使用6-苄基腺嘌呤等物质的公告(2015年第11号)、农业农村部公告第250号、整顿办函[2010]50号</w:t>
      </w:r>
      <w:r>
        <w:rPr>
          <w:rFonts w:hint="eastAsia" w:ascii="仿宋" w:hAnsi="仿宋" w:eastAsia="仿宋" w:cs="仿宋_GB2312"/>
          <w:sz w:val="30"/>
          <w:szCs w:val="30"/>
        </w:rPr>
        <w:t>等标准及产品明示标准和指标的要求。</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（二）检验项目</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default" w:ascii="仿宋" w:hAnsi="仿宋" w:eastAsia="仿宋" w:cs="仿宋_GB2312"/>
          <w:sz w:val="30"/>
          <w:szCs w:val="30"/>
          <w:lang w:val="en-US" w:eastAsia="zh-CN"/>
        </w:rPr>
      </w:pPr>
      <w:r>
        <w:rPr>
          <w:rFonts w:hint="eastAsia" w:ascii="仿宋" w:hAnsi="仿宋" w:eastAsia="仿宋" w:cs="仿宋_GB2312"/>
          <w:sz w:val="30"/>
          <w:szCs w:val="30"/>
          <w:lang w:val="en-US" w:eastAsia="zh-CN"/>
        </w:rPr>
        <w:t>食用农产品抽检项目包括</w:t>
      </w:r>
      <w:r>
        <w:rPr>
          <w:rFonts w:hint="default" w:ascii="仿宋" w:hAnsi="仿宋" w:eastAsia="仿宋" w:cs="仿宋_GB2312"/>
          <w:sz w:val="30"/>
          <w:szCs w:val="30"/>
          <w:lang w:val="en-US" w:eastAsia="zh-CN"/>
        </w:rPr>
        <w:t>4-氯苯氧乙酸钠(以4-氯苯氧乙酸计)、6-苄基腺嘌呤(6-BA)、阿维菌素、倍硫磷、苯醚甲环唑、吡虫啉、吡唑醚菌酯、丙溴磷、敌敌畏、地美硝唑、地塞米松、啶虫脒、毒死蜱、多菌灵、恩诺沙星、呋喃唑酮代谢物、氟虫腈、腐霉利、镉(以Cd计)、磺胺类(总量)、挥发性盐基氮、甲胺磷、甲拌磷、甲基异柳磷、甲硝唑、甲氧苄啶、腈苯唑、腈菌唑、克百威、克伦特罗、莱克多巴胺、乐果、联苯菊酯、氯吡脲、氯氟氰菊酯和高效氯氟氰菊酯、氯霉素、氯氰菊酯和高效氯氰菊酯、氯唑磷、灭多威、灭线磷、灭蝇胺、铅(以Pb计)、噻虫胺、噻虫嗪、三唑磷、沙丁胺醇、水胺硫磷、土霉素、溴氰菊酯、亚硫酸盐(以SO₂计)、氧乐果、乙酰甲胺磷、总汞(以Hg计)</w:t>
      </w:r>
      <w:r>
        <w:rPr>
          <w:rFonts w:hint="eastAsia" w:ascii="仿宋" w:hAnsi="仿宋" w:eastAsia="仿宋" w:cs="仿宋_GB2312"/>
          <w:sz w:val="30"/>
          <w:szCs w:val="30"/>
          <w:lang w:val="en-US" w:eastAsia="zh-CN"/>
        </w:rPr>
        <w:t>。</w:t>
      </w:r>
    </w:p>
    <w:p>
      <w:pPr>
        <w:keepNext w:val="0"/>
        <w:keepLines w:val="0"/>
        <w:pageBreakBefore w:val="0"/>
        <w:widowControl w:val="0"/>
        <w:numPr>
          <w:ilvl w:val="0"/>
          <w:numId w:val="1"/>
        </w:numPr>
        <w:kinsoku/>
        <w:overflowPunct/>
        <w:topLinePunct w:val="0"/>
        <w:autoSpaceDE/>
        <w:autoSpaceDN/>
        <w:bidi w:val="0"/>
        <w:adjustRightInd/>
        <w:snapToGrid/>
        <w:spacing w:line="500" w:lineRule="exact"/>
        <w:ind w:left="0" w:leftChars="0" w:firstLine="420" w:firstLineChars="0"/>
        <w:textAlignment w:val="auto"/>
        <w:rPr>
          <w:rFonts w:hint="eastAsia" w:ascii="仿宋" w:hAnsi="仿宋" w:eastAsia="仿宋" w:cs="仿宋_GB2312"/>
          <w:b/>
          <w:bCs/>
          <w:sz w:val="30"/>
          <w:szCs w:val="30"/>
          <w:lang w:val="en-US" w:eastAsia="zh-CN"/>
        </w:rPr>
      </w:pPr>
      <w:r>
        <w:rPr>
          <w:rFonts w:hint="eastAsia" w:ascii="仿宋" w:hAnsi="仿宋" w:eastAsia="仿宋" w:cs="仿宋_GB2312"/>
          <w:b/>
          <w:bCs/>
          <w:sz w:val="30"/>
          <w:szCs w:val="30"/>
          <w:lang w:val="en-US" w:eastAsia="zh-CN"/>
        </w:rPr>
        <w:t>食用油、油脂及其制品</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（一）抽检依据</w:t>
      </w:r>
    </w:p>
    <w:p>
      <w:pPr>
        <w:keepNext w:val="0"/>
        <w:keepLines w:val="0"/>
        <w:pageBreakBefore w:val="0"/>
        <w:widowControl w:val="0"/>
        <w:kinsoku/>
        <w:wordWrap w:val="0"/>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rPr>
        <w:t>抽检依据是</w:t>
      </w:r>
      <w:r>
        <w:rPr>
          <w:rFonts w:hint="default" w:ascii="仿宋" w:hAnsi="仿宋" w:eastAsia="仿宋" w:cs="仿宋_GB2312"/>
          <w:sz w:val="30"/>
          <w:szCs w:val="30"/>
          <w:lang w:val="en-US" w:eastAsia="zh-CN"/>
        </w:rPr>
        <w:t>GB 2716-2018、GB 2760-2014、GB 2762-2017、GB/T 8233-2018</w:t>
      </w:r>
      <w:r>
        <w:rPr>
          <w:rFonts w:hint="eastAsia" w:ascii="仿宋" w:hAnsi="仿宋" w:eastAsia="仿宋" w:cs="仿宋_GB2312"/>
          <w:sz w:val="30"/>
          <w:szCs w:val="30"/>
        </w:rPr>
        <w:t>等标准及产品明示标准和指标的要求。</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（二）检验项目</w:t>
      </w:r>
    </w:p>
    <w:p>
      <w:pPr>
        <w:pStyle w:val="2"/>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default" w:ascii="仿宋" w:hAnsi="仿宋" w:eastAsia="仿宋" w:cs="仿宋_GB2312"/>
          <w:sz w:val="30"/>
          <w:szCs w:val="30"/>
          <w:lang w:val="en-US" w:eastAsia="zh-CN"/>
        </w:rPr>
      </w:pPr>
      <w:r>
        <w:rPr>
          <w:rFonts w:hint="eastAsia" w:ascii="仿宋" w:hAnsi="仿宋" w:eastAsia="仿宋" w:cs="仿宋_GB2312"/>
          <w:sz w:val="30"/>
          <w:szCs w:val="30"/>
          <w:lang w:val="en-US" w:eastAsia="zh-CN"/>
        </w:rPr>
        <w:t>食用油、油脂及其制品抽检项目包括</w:t>
      </w:r>
      <w:r>
        <w:rPr>
          <w:rFonts w:hint="default" w:ascii="仿宋" w:hAnsi="仿宋" w:eastAsia="仿宋" w:cs="仿宋_GB2312"/>
          <w:sz w:val="30"/>
          <w:szCs w:val="30"/>
          <w:lang w:val="en-US" w:eastAsia="zh-CN"/>
        </w:rPr>
        <w:t>苯并[a]芘、过氧化值、溶剂残留量、酸价(以KOH计)、乙基麦芽酚</w:t>
      </w:r>
      <w:r>
        <w:rPr>
          <w:rFonts w:hint="eastAsia" w:ascii="仿宋" w:hAnsi="仿宋" w:eastAsia="仿宋" w:cs="仿宋_GB2312"/>
          <w:sz w:val="30"/>
          <w:szCs w:val="30"/>
          <w:lang w:val="en-US" w:eastAsia="zh-CN"/>
        </w:rPr>
        <w:t>。</w:t>
      </w:r>
    </w:p>
    <w:p>
      <w:pPr>
        <w:keepNext w:val="0"/>
        <w:keepLines w:val="0"/>
        <w:pageBreakBefore w:val="0"/>
        <w:widowControl w:val="0"/>
        <w:numPr>
          <w:ilvl w:val="0"/>
          <w:numId w:val="1"/>
        </w:numPr>
        <w:kinsoku/>
        <w:overflowPunct/>
        <w:topLinePunct w:val="0"/>
        <w:autoSpaceDE/>
        <w:autoSpaceDN/>
        <w:bidi w:val="0"/>
        <w:adjustRightInd/>
        <w:snapToGrid/>
        <w:spacing w:line="500" w:lineRule="exact"/>
        <w:ind w:left="0" w:leftChars="0" w:firstLine="420" w:firstLineChars="0"/>
        <w:textAlignment w:val="auto"/>
        <w:rPr>
          <w:rFonts w:hint="eastAsia" w:ascii="仿宋" w:hAnsi="仿宋" w:eastAsia="仿宋" w:cs="仿宋_GB2312"/>
          <w:b/>
          <w:bCs/>
          <w:sz w:val="30"/>
          <w:szCs w:val="30"/>
          <w:lang w:val="en-US" w:eastAsia="zh-CN"/>
        </w:rPr>
      </w:pPr>
      <w:r>
        <w:rPr>
          <w:rFonts w:hint="eastAsia" w:ascii="仿宋" w:hAnsi="仿宋" w:eastAsia="仿宋" w:cs="仿宋_GB2312"/>
          <w:b/>
          <w:bCs/>
          <w:sz w:val="30"/>
          <w:szCs w:val="30"/>
          <w:lang w:val="en-US" w:eastAsia="zh-CN"/>
        </w:rPr>
        <w:t>糖果制品</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（一）抽检依据</w:t>
      </w:r>
    </w:p>
    <w:p>
      <w:pPr>
        <w:keepNext w:val="0"/>
        <w:keepLines w:val="0"/>
        <w:pageBreakBefore w:val="0"/>
        <w:widowControl w:val="0"/>
        <w:kinsoku/>
        <w:wordWrap w:val="0"/>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rPr>
        <w:t>抽检依据是</w:t>
      </w:r>
      <w:r>
        <w:rPr>
          <w:rFonts w:hint="default" w:ascii="仿宋" w:hAnsi="仿宋" w:eastAsia="仿宋" w:cs="仿宋_GB2312"/>
          <w:sz w:val="30"/>
          <w:szCs w:val="30"/>
          <w:lang w:val="en-US" w:eastAsia="zh-CN"/>
        </w:rPr>
        <w:t>GB 17399-2016、GB 2760-2014、GB 2762-2017</w:t>
      </w:r>
      <w:r>
        <w:rPr>
          <w:rFonts w:hint="eastAsia" w:ascii="仿宋" w:hAnsi="仿宋" w:eastAsia="仿宋" w:cs="仿宋_GB2312"/>
          <w:sz w:val="30"/>
          <w:szCs w:val="30"/>
        </w:rPr>
        <w:t>等标准及产品明示标准和指标的要求。</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（二）检验项目</w:t>
      </w:r>
    </w:p>
    <w:p>
      <w:pPr>
        <w:pStyle w:val="2"/>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default" w:ascii="仿宋" w:hAnsi="仿宋" w:eastAsia="仿宋" w:cs="仿宋_GB2312"/>
          <w:sz w:val="30"/>
          <w:szCs w:val="30"/>
          <w:lang w:val="en-US" w:eastAsia="zh-CN"/>
        </w:rPr>
      </w:pPr>
      <w:r>
        <w:rPr>
          <w:rFonts w:hint="eastAsia" w:ascii="仿宋" w:hAnsi="仿宋" w:eastAsia="仿宋" w:cs="仿宋_GB2312"/>
          <w:sz w:val="30"/>
          <w:szCs w:val="30"/>
          <w:lang w:val="en-US" w:eastAsia="zh-CN"/>
        </w:rPr>
        <w:t>糖果制品抽检项目包括</w:t>
      </w:r>
      <w:r>
        <w:rPr>
          <w:rFonts w:hint="default" w:ascii="仿宋" w:hAnsi="仿宋" w:eastAsia="仿宋" w:cs="仿宋_GB2312"/>
          <w:sz w:val="30"/>
          <w:szCs w:val="30"/>
          <w:lang w:val="en-US" w:eastAsia="zh-CN"/>
        </w:rPr>
        <w:t>大肠菌群、菌落总数、铅(以Pb计)、日落黄、糖精钠(以糖精计)</w:t>
      </w:r>
      <w:r>
        <w:rPr>
          <w:rFonts w:hint="eastAsia" w:ascii="仿宋" w:hAnsi="仿宋" w:eastAsia="仿宋" w:cs="仿宋_GB2312"/>
          <w:sz w:val="30"/>
          <w:szCs w:val="30"/>
          <w:lang w:val="en-US" w:eastAsia="zh-CN"/>
        </w:rPr>
        <w:t>。</w:t>
      </w:r>
    </w:p>
    <w:p>
      <w:pPr>
        <w:keepNext w:val="0"/>
        <w:keepLines w:val="0"/>
        <w:pageBreakBefore w:val="0"/>
        <w:widowControl w:val="0"/>
        <w:numPr>
          <w:ilvl w:val="0"/>
          <w:numId w:val="1"/>
        </w:numPr>
        <w:kinsoku/>
        <w:overflowPunct/>
        <w:topLinePunct w:val="0"/>
        <w:autoSpaceDE/>
        <w:autoSpaceDN/>
        <w:bidi w:val="0"/>
        <w:adjustRightInd/>
        <w:snapToGrid/>
        <w:spacing w:line="500" w:lineRule="exact"/>
        <w:ind w:left="0" w:leftChars="0" w:firstLine="420" w:firstLineChars="0"/>
        <w:textAlignment w:val="auto"/>
        <w:rPr>
          <w:rFonts w:hint="eastAsia" w:ascii="仿宋" w:hAnsi="仿宋" w:eastAsia="仿宋" w:cs="仿宋_GB2312"/>
          <w:b/>
          <w:bCs/>
          <w:sz w:val="30"/>
          <w:szCs w:val="30"/>
          <w:lang w:val="en-US" w:eastAsia="zh-CN"/>
        </w:rPr>
      </w:pPr>
      <w:r>
        <w:rPr>
          <w:rFonts w:hint="eastAsia" w:ascii="仿宋" w:hAnsi="仿宋" w:eastAsia="仿宋" w:cs="仿宋_GB2312"/>
          <w:b/>
          <w:bCs/>
          <w:sz w:val="30"/>
          <w:szCs w:val="30"/>
          <w:lang w:val="en-US" w:eastAsia="zh-CN"/>
        </w:rPr>
        <w:t>调味品</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（一）抽检依据</w:t>
      </w:r>
    </w:p>
    <w:p>
      <w:pPr>
        <w:keepNext w:val="0"/>
        <w:keepLines w:val="0"/>
        <w:pageBreakBefore w:val="0"/>
        <w:widowControl w:val="0"/>
        <w:kinsoku/>
        <w:wordWrap w:val="0"/>
        <w:overflowPunct/>
        <w:topLinePunct w:val="0"/>
        <w:autoSpaceDE/>
        <w:autoSpaceDN/>
        <w:bidi w:val="0"/>
        <w:adjustRightInd/>
        <w:snapToGrid/>
        <w:spacing w:line="500" w:lineRule="exact"/>
        <w:ind w:firstLine="600" w:firstLineChars="200"/>
        <w:textAlignment w:val="auto"/>
        <w:rPr>
          <w:rFonts w:hint="eastAsia" w:ascii="仿宋" w:hAnsi="仿宋" w:eastAsia="仿宋" w:cs="仿宋_GB2312"/>
          <w:sz w:val="30"/>
          <w:szCs w:val="30"/>
        </w:rPr>
      </w:pPr>
      <w:r>
        <w:rPr>
          <w:rFonts w:hint="eastAsia" w:ascii="仿宋" w:hAnsi="仿宋" w:eastAsia="仿宋" w:cs="仿宋_GB2312"/>
          <w:sz w:val="30"/>
          <w:szCs w:val="30"/>
        </w:rPr>
        <w:t>抽检依据是</w:t>
      </w:r>
      <w:r>
        <w:rPr>
          <w:rFonts w:hint="default" w:ascii="仿宋" w:hAnsi="仿宋" w:eastAsia="仿宋" w:cs="仿宋_GB2312"/>
          <w:sz w:val="30"/>
          <w:szCs w:val="30"/>
          <w:lang w:val="en-US" w:eastAsia="zh-CN"/>
        </w:rPr>
        <w:t>GB 2717-2018、GB 2760-2014、GB 2762-2017、GB/T 18186-2000、食品整治办[2008]3号、整顿办函[2011]1号</w:t>
      </w:r>
      <w:r>
        <w:rPr>
          <w:rFonts w:hint="eastAsia" w:ascii="仿宋" w:hAnsi="仿宋" w:eastAsia="仿宋" w:cs="仿宋_GB2312"/>
          <w:sz w:val="30"/>
          <w:szCs w:val="30"/>
        </w:rPr>
        <w:t>等标准及产品明示标准和指标的要求。</w:t>
      </w:r>
    </w:p>
    <w:p>
      <w:pPr>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（二）检验项目</w:t>
      </w:r>
    </w:p>
    <w:p>
      <w:pPr>
        <w:pStyle w:val="2"/>
        <w:keepNext w:val="0"/>
        <w:keepLines w:val="0"/>
        <w:pageBreakBefore w:val="0"/>
        <w:widowControl w:val="0"/>
        <w:kinsoku/>
        <w:overflowPunct/>
        <w:topLinePunct w:val="0"/>
        <w:autoSpaceDE/>
        <w:autoSpaceDN/>
        <w:bidi w:val="0"/>
        <w:adjustRightInd/>
        <w:snapToGrid/>
        <w:spacing w:line="500" w:lineRule="exact"/>
        <w:ind w:firstLine="600" w:firstLineChars="200"/>
        <w:textAlignment w:val="auto"/>
        <w:rPr>
          <w:rFonts w:hint="default" w:ascii="仿宋" w:hAnsi="仿宋" w:eastAsia="仿宋" w:cs="仿宋_GB2312"/>
          <w:kern w:val="2"/>
          <w:sz w:val="30"/>
          <w:szCs w:val="30"/>
          <w:lang w:val="en-US" w:eastAsia="zh-CN" w:bidi="ar-SA"/>
        </w:rPr>
      </w:pPr>
      <w:r>
        <w:rPr>
          <w:rFonts w:hint="eastAsia" w:ascii="仿宋" w:hAnsi="仿宋" w:eastAsia="仿宋" w:cs="仿宋_GB2312"/>
          <w:sz w:val="30"/>
          <w:szCs w:val="30"/>
          <w:lang w:val="en-US" w:eastAsia="zh-CN"/>
        </w:rPr>
        <w:t>调味品抽检项目包括</w:t>
      </w:r>
      <w:r>
        <w:rPr>
          <w:rFonts w:hint="default" w:ascii="仿宋" w:hAnsi="仿宋" w:eastAsia="仿宋" w:cs="仿宋_GB2312"/>
          <w:sz w:val="30"/>
          <w:szCs w:val="30"/>
          <w:lang w:val="en-US" w:eastAsia="zh-CN"/>
        </w:rPr>
        <w:t>氨基酸态氮(以氮计)、铵盐(以占氨基酸态氮的百分比计)、苯甲酸及其钠盐(以苯甲酸计)、大肠菌群、对羟基苯甲酸酯类及其钠盐(对羟基苯甲酸甲酯钠,对羟基苯甲酸乙酯及其钠盐)(以对羟基苯甲酸计)、菌落总数、罗丹明B、铅(以Pb计)、全氮(以氮计)、山梨酸及其钾盐(以山梨酸计)、苏丹红Ⅰ、苏丹红Ⅱ、苏丹红Ⅲ、苏丹红Ⅳ、糖精钠(以糖精计)、脱氢乙酸及其钠盐(以脱氢乙酸计)</w:t>
      </w:r>
      <w:r>
        <w:rPr>
          <w:rFonts w:hint="eastAsia" w:ascii="仿宋" w:hAnsi="仿宋" w:eastAsia="仿宋" w:cs="仿宋_GB2312"/>
          <w:sz w:val="30"/>
          <w:szCs w:val="30"/>
          <w:lang w:val="en-US" w:eastAsia="zh-CN"/>
        </w:rPr>
        <w:t>。</w:t>
      </w:r>
    </w:p>
    <w:sectPr>
      <w:footerReference r:id="rId3" w:type="default"/>
      <w:pgSz w:w="11906" w:h="16838"/>
      <w:pgMar w:top="1440" w:right="1406"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82343F"/>
    <w:multiLevelType w:val="singleLevel"/>
    <w:tmpl w:val="0882343F"/>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lNWMwM2Q2NDIyYmU4YTdlOWFmMjk0OWVjZjc1OTcifQ=="/>
  </w:docVars>
  <w:rsids>
    <w:rsidRoot w:val="00A06660"/>
    <w:rsid w:val="00021128"/>
    <w:rsid w:val="000331CB"/>
    <w:rsid w:val="00097B71"/>
    <w:rsid w:val="000E09EE"/>
    <w:rsid w:val="00100903"/>
    <w:rsid w:val="00170EB0"/>
    <w:rsid w:val="001B5266"/>
    <w:rsid w:val="001E5DF3"/>
    <w:rsid w:val="003B1320"/>
    <w:rsid w:val="004B1C0A"/>
    <w:rsid w:val="005D0E50"/>
    <w:rsid w:val="005D6F77"/>
    <w:rsid w:val="00676078"/>
    <w:rsid w:val="00691657"/>
    <w:rsid w:val="006B075A"/>
    <w:rsid w:val="006C2F22"/>
    <w:rsid w:val="006D441C"/>
    <w:rsid w:val="006E3BFB"/>
    <w:rsid w:val="00754D95"/>
    <w:rsid w:val="007C6614"/>
    <w:rsid w:val="0087236F"/>
    <w:rsid w:val="008E72CC"/>
    <w:rsid w:val="009220D0"/>
    <w:rsid w:val="00950783"/>
    <w:rsid w:val="00962097"/>
    <w:rsid w:val="009A2604"/>
    <w:rsid w:val="00A06660"/>
    <w:rsid w:val="00A64CB5"/>
    <w:rsid w:val="00AC09C3"/>
    <w:rsid w:val="00AC7C00"/>
    <w:rsid w:val="00B27511"/>
    <w:rsid w:val="00B34173"/>
    <w:rsid w:val="00B3550F"/>
    <w:rsid w:val="00B77A02"/>
    <w:rsid w:val="00BB34F9"/>
    <w:rsid w:val="00C10A0C"/>
    <w:rsid w:val="00C40C77"/>
    <w:rsid w:val="00CC64E8"/>
    <w:rsid w:val="00D324C2"/>
    <w:rsid w:val="00D90E13"/>
    <w:rsid w:val="00DA7C4D"/>
    <w:rsid w:val="00DF7079"/>
    <w:rsid w:val="00E7102D"/>
    <w:rsid w:val="00EC62BA"/>
    <w:rsid w:val="00EF4E85"/>
    <w:rsid w:val="00F669C1"/>
    <w:rsid w:val="00FB550A"/>
    <w:rsid w:val="00FD76F1"/>
    <w:rsid w:val="00FF0AC9"/>
    <w:rsid w:val="019362A4"/>
    <w:rsid w:val="03415F2E"/>
    <w:rsid w:val="03801149"/>
    <w:rsid w:val="047E7219"/>
    <w:rsid w:val="04A15406"/>
    <w:rsid w:val="065313D6"/>
    <w:rsid w:val="06B72B71"/>
    <w:rsid w:val="071E2A78"/>
    <w:rsid w:val="081D316D"/>
    <w:rsid w:val="0ADE5932"/>
    <w:rsid w:val="0C37346C"/>
    <w:rsid w:val="0EEA0E8C"/>
    <w:rsid w:val="0F7015E0"/>
    <w:rsid w:val="11481372"/>
    <w:rsid w:val="12E35A04"/>
    <w:rsid w:val="13046F05"/>
    <w:rsid w:val="14A85267"/>
    <w:rsid w:val="17926192"/>
    <w:rsid w:val="17DF272E"/>
    <w:rsid w:val="19157574"/>
    <w:rsid w:val="19E07D5D"/>
    <w:rsid w:val="1D8C6D63"/>
    <w:rsid w:val="1E1666F5"/>
    <w:rsid w:val="1FF61769"/>
    <w:rsid w:val="20E57C78"/>
    <w:rsid w:val="23036CE8"/>
    <w:rsid w:val="233A5DB1"/>
    <w:rsid w:val="24AB5CC7"/>
    <w:rsid w:val="272D7E29"/>
    <w:rsid w:val="28135311"/>
    <w:rsid w:val="293609AC"/>
    <w:rsid w:val="29D804B4"/>
    <w:rsid w:val="2AD66346"/>
    <w:rsid w:val="2BD07DE6"/>
    <w:rsid w:val="2F5E4339"/>
    <w:rsid w:val="3048159D"/>
    <w:rsid w:val="32673D19"/>
    <w:rsid w:val="32DA12DB"/>
    <w:rsid w:val="33201431"/>
    <w:rsid w:val="34AF2AF8"/>
    <w:rsid w:val="351402C8"/>
    <w:rsid w:val="35921B2F"/>
    <w:rsid w:val="36BA584B"/>
    <w:rsid w:val="36F23EF5"/>
    <w:rsid w:val="37267C17"/>
    <w:rsid w:val="37867516"/>
    <w:rsid w:val="3788046F"/>
    <w:rsid w:val="38AC3061"/>
    <w:rsid w:val="39170CA1"/>
    <w:rsid w:val="39565AB7"/>
    <w:rsid w:val="398820D8"/>
    <w:rsid w:val="39A61DCE"/>
    <w:rsid w:val="3A550212"/>
    <w:rsid w:val="3B053EB2"/>
    <w:rsid w:val="3B56746F"/>
    <w:rsid w:val="3C201D09"/>
    <w:rsid w:val="3CFC09AD"/>
    <w:rsid w:val="3FA15861"/>
    <w:rsid w:val="40436A5C"/>
    <w:rsid w:val="410127AD"/>
    <w:rsid w:val="416D399E"/>
    <w:rsid w:val="43F4008F"/>
    <w:rsid w:val="44AE0556"/>
    <w:rsid w:val="450E0C06"/>
    <w:rsid w:val="45486413"/>
    <w:rsid w:val="459E4818"/>
    <w:rsid w:val="48D37826"/>
    <w:rsid w:val="4ACC3D93"/>
    <w:rsid w:val="4B2F389F"/>
    <w:rsid w:val="4CED43E9"/>
    <w:rsid w:val="4D370998"/>
    <w:rsid w:val="51A06DAB"/>
    <w:rsid w:val="520624F2"/>
    <w:rsid w:val="53AE720D"/>
    <w:rsid w:val="54560E09"/>
    <w:rsid w:val="57945CD1"/>
    <w:rsid w:val="58DB53A1"/>
    <w:rsid w:val="59612BE8"/>
    <w:rsid w:val="5989629E"/>
    <w:rsid w:val="59DE34E9"/>
    <w:rsid w:val="5A270918"/>
    <w:rsid w:val="5AF612EB"/>
    <w:rsid w:val="5B200967"/>
    <w:rsid w:val="5B4123CC"/>
    <w:rsid w:val="5C0C7838"/>
    <w:rsid w:val="5C7F1437"/>
    <w:rsid w:val="5CB16D5E"/>
    <w:rsid w:val="5F126E38"/>
    <w:rsid w:val="60624BD5"/>
    <w:rsid w:val="6067193E"/>
    <w:rsid w:val="60E60737"/>
    <w:rsid w:val="61BF4666"/>
    <w:rsid w:val="655F5377"/>
    <w:rsid w:val="659C75FC"/>
    <w:rsid w:val="69BD2834"/>
    <w:rsid w:val="6FBB7B24"/>
    <w:rsid w:val="6FFC1059"/>
    <w:rsid w:val="70066E6F"/>
    <w:rsid w:val="70626515"/>
    <w:rsid w:val="70D663CE"/>
    <w:rsid w:val="749424C2"/>
    <w:rsid w:val="768C3BC3"/>
    <w:rsid w:val="77060618"/>
    <w:rsid w:val="7A8041EE"/>
    <w:rsid w:val="7B022DCE"/>
    <w:rsid w:val="7B7547E8"/>
    <w:rsid w:val="7BE20FE7"/>
    <w:rsid w:val="7CFE0D05"/>
    <w:rsid w:val="7E046E5D"/>
    <w:rsid w:val="7E0C2E3D"/>
    <w:rsid w:val="7E9269A7"/>
    <w:rsid w:val="7E976517"/>
    <w:rsid w:val="7EAD4C0D"/>
    <w:rsid w:val="7EDC4401"/>
    <w:rsid w:val="7EEA6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1595</Words>
  <Characters>1958</Characters>
  <Lines>13</Lines>
  <Paragraphs>3</Paragraphs>
  <TotalTime>2</TotalTime>
  <ScaleCrop>false</ScaleCrop>
  <LinksUpToDate>false</LinksUpToDate>
  <CharactersWithSpaces>1995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2020-01-20T00:37:00Z</dcterms:created>
  <dc:creator>lenovo</dc:creator>
  <cp:lastModifiedBy>Administrator</cp:lastModifiedBy>
  <cp:lastPrinted>2023-02-01T02:15:05Z</cp:lastPrinted>
  <dcterms:modified xsi:type="dcterms:W3CDTF">2023-02-01T02:15:08Z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F0B33F28DD6D4818B532E1FFD89573DB</vt:lpwstr>
  </property>
</Properties>
</file>